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E0E" w:rsidRPr="00741E0E" w:rsidRDefault="00741E0E" w:rsidP="00741E0E">
      <w:pPr>
        <w:widowControl/>
        <w:shd w:val="clear" w:color="auto" w:fill="F9FCFF"/>
        <w:spacing w:line="408" w:lineRule="atLeast"/>
        <w:jc w:val="center"/>
        <w:rPr>
          <w:rFonts w:ascii="宋体" w:eastAsia="宋体" w:hAnsi="宋体" w:cs="宋体"/>
          <w:b/>
          <w:bCs/>
          <w:color w:val="013660"/>
          <w:kern w:val="0"/>
          <w:sz w:val="30"/>
          <w:szCs w:val="30"/>
        </w:rPr>
      </w:pPr>
      <w:r w:rsidRPr="00741E0E">
        <w:rPr>
          <w:rFonts w:ascii="宋体" w:eastAsia="宋体" w:hAnsi="宋体" w:cs="宋体" w:hint="eastAsia"/>
          <w:b/>
          <w:bCs/>
          <w:color w:val="013660"/>
          <w:kern w:val="0"/>
          <w:sz w:val="30"/>
          <w:szCs w:val="30"/>
        </w:rPr>
        <w:t xml:space="preserve">成都市拍卖转让国有建设用地使用权公告 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ind w:firstLine="326"/>
        <w:jc w:val="center"/>
        <w:rPr>
          <w:rFonts w:ascii="宋体" w:eastAsia="宋体" w:hAnsi="宋体" w:cs="宋体" w:hint="eastAsia"/>
          <w:b/>
          <w:bCs/>
          <w:color w:val="013660"/>
          <w:kern w:val="0"/>
          <w:sz w:val="22"/>
        </w:rPr>
      </w:pPr>
      <w:r w:rsidRPr="00741E0E">
        <w:rPr>
          <w:rFonts w:ascii="宋体" w:eastAsia="宋体" w:hAnsi="宋体" w:cs="宋体" w:hint="eastAsia"/>
          <w:b/>
          <w:bCs/>
          <w:color w:val="013660"/>
          <w:kern w:val="0"/>
          <w:sz w:val="22"/>
        </w:rPr>
        <w:t xml:space="preserve">成地产转告﹝2012﹞1号 </w:t>
      </w:r>
    </w:p>
    <w:p w:rsidR="00741E0E" w:rsidRPr="00741E0E" w:rsidRDefault="00741E0E" w:rsidP="00741E0E">
      <w:pPr>
        <w:widowControl/>
        <w:shd w:val="clear" w:color="auto" w:fill="F9FCFF"/>
        <w:spacing w:line="299" w:lineRule="atLeast"/>
        <w:jc w:val="center"/>
        <w:rPr>
          <w:rFonts w:ascii="宋体" w:eastAsia="宋体" w:hAnsi="宋体" w:cs="宋体" w:hint="eastAsia"/>
          <w:color w:val="002F62"/>
          <w:kern w:val="0"/>
          <w:sz w:val="16"/>
          <w:szCs w:val="16"/>
        </w:rPr>
      </w:pPr>
      <w:r w:rsidRPr="00741E0E">
        <w:rPr>
          <w:rFonts w:ascii="宋体" w:eastAsia="宋体" w:hAnsi="宋体" w:cs="宋体" w:hint="eastAsia"/>
          <w:color w:val="002F62"/>
          <w:kern w:val="0"/>
          <w:sz w:val="16"/>
          <w:szCs w:val="16"/>
        </w:rPr>
        <w:t>时间：2012-01-17 | 点击数：337 | 来源： | 【</w:t>
      </w:r>
      <w:hyperlink r:id="rId4" w:history="1">
        <w:r w:rsidRPr="00741E0E">
          <w:rPr>
            <w:rFonts w:ascii="宋体" w:eastAsia="宋体" w:hAnsi="宋体" w:cs="宋体" w:hint="eastAsia"/>
            <w:color w:val="000000"/>
            <w:kern w:val="0"/>
            <w:sz w:val="16"/>
          </w:rPr>
          <w:t>大</w:t>
        </w:r>
      </w:hyperlink>
      <w:r w:rsidRPr="00741E0E">
        <w:rPr>
          <w:rFonts w:ascii="宋体" w:eastAsia="宋体" w:hAnsi="宋体" w:cs="宋体" w:hint="eastAsia"/>
          <w:color w:val="002F62"/>
          <w:kern w:val="0"/>
          <w:sz w:val="16"/>
          <w:szCs w:val="16"/>
        </w:rPr>
        <w:t xml:space="preserve"> </w:t>
      </w:r>
      <w:hyperlink r:id="rId5" w:history="1">
        <w:r w:rsidRPr="00741E0E">
          <w:rPr>
            <w:rFonts w:ascii="宋体" w:eastAsia="宋体" w:hAnsi="宋体" w:cs="宋体" w:hint="eastAsia"/>
            <w:color w:val="000000"/>
            <w:kern w:val="0"/>
            <w:sz w:val="16"/>
          </w:rPr>
          <w:t>中</w:t>
        </w:r>
      </w:hyperlink>
      <w:r w:rsidRPr="00741E0E">
        <w:rPr>
          <w:rFonts w:ascii="宋体" w:eastAsia="宋体" w:hAnsi="宋体" w:cs="宋体" w:hint="eastAsia"/>
          <w:color w:val="002F62"/>
          <w:kern w:val="0"/>
          <w:sz w:val="16"/>
          <w:szCs w:val="16"/>
        </w:rPr>
        <w:t xml:space="preserve"> </w:t>
      </w:r>
      <w:hyperlink r:id="rId6" w:history="1">
        <w:r w:rsidRPr="00741E0E">
          <w:rPr>
            <w:rFonts w:ascii="宋体" w:eastAsia="宋体" w:hAnsi="宋体" w:cs="宋体" w:hint="eastAsia"/>
            <w:color w:val="000000"/>
            <w:kern w:val="0"/>
            <w:sz w:val="16"/>
          </w:rPr>
          <w:t>小</w:t>
        </w:r>
      </w:hyperlink>
      <w:r w:rsidRPr="00741E0E">
        <w:rPr>
          <w:rFonts w:ascii="宋体" w:eastAsia="宋体" w:hAnsi="宋体" w:cs="宋体" w:hint="eastAsia"/>
          <w:color w:val="002F62"/>
          <w:kern w:val="0"/>
          <w:sz w:val="16"/>
          <w:szCs w:val="16"/>
        </w:rPr>
        <w:t>】【</w:t>
      </w:r>
      <w:hyperlink r:id="rId7" w:history="1">
        <w:r w:rsidRPr="00741E0E">
          <w:rPr>
            <w:rFonts w:ascii="宋体" w:eastAsia="宋体" w:hAnsi="宋体" w:cs="宋体" w:hint="eastAsia"/>
            <w:color w:val="000000"/>
            <w:kern w:val="0"/>
            <w:sz w:val="16"/>
          </w:rPr>
          <w:t>打印</w:t>
        </w:r>
      </w:hyperlink>
      <w:r w:rsidRPr="00741E0E">
        <w:rPr>
          <w:rFonts w:ascii="宋体" w:eastAsia="宋体" w:hAnsi="宋体" w:cs="宋体" w:hint="eastAsia"/>
          <w:color w:val="002F62"/>
          <w:kern w:val="0"/>
          <w:sz w:val="16"/>
          <w:szCs w:val="16"/>
        </w:rPr>
        <w:t>】【</w:t>
      </w:r>
      <w:hyperlink r:id="rId8" w:history="1">
        <w:r w:rsidRPr="00741E0E">
          <w:rPr>
            <w:rFonts w:ascii="宋体" w:eastAsia="宋体" w:hAnsi="宋体" w:cs="宋体" w:hint="eastAsia"/>
            <w:color w:val="000000"/>
            <w:kern w:val="0"/>
            <w:sz w:val="16"/>
          </w:rPr>
          <w:t>关闭</w:t>
        </w:r>
      </w:hyperlink>
      <w:r w:rsidRPr="00741E0E">
        <w:rPr>
          <w:rFonts w:ascii="宋体" w:eastAsia="宋体" w:hAnsi="宋体" w:cs="宋体" w:hint="eastAsia"/>
          <w:color w:val="002F62"/>
          <w:kern w:val="0"/>
          <w:sz w:val="16"/>
          <w:szCs w:val="16"/>
        </w:rPr>
        <w:t>】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   根据《土地管理法》、《城市房地产管理法》、国土资源部39号令、成都市人民政府《关于进一步加强土地管理促进节约集约用地的通知》（成府发〔2008〕52号）、《四川省国土资源厅关于转发&lt;关于加强军队空余土地转让管理有关问题的通知&gt;的通知》（川</w:t>
      </w:r>
      <w:proofErr w:type="gramStart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国土资发〔2007〕</w:t>
      </w:r>
      <w:proofErr w:type="gramEnd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24号）、《中华人民共和国城镇国有土地使用权出让和转让暂行条例》等相关文件规定，定于2012年2月28日上午10时，在成都市土地交易市场 (市国土资源局办公楼附四楼)，以拍卖方式组织转让一宗国有建设用地使用权。现就有关事项公告如下：</w:t>
      </w: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br/>
        <w:t>    一、拍卖转让宗地的基本情况：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1"/>
        <w:gridCol w:w="1173"/>
        <w:gridCol w:w="1275"/>
        <w:gridCol w:w="1421"/>
        <w:gridCol w:w="1260"/>
        <w:gridCol w:w="1050"/>
        <w:gridCol w:w="1519"/>
        <w:gridCol w:w="945"/>
        <w:gridCol w:w="2625"/>
        <w:gridCol w:w="896"/>
        <w:gridCol w:w="1155"/>
      </w:tblGrid>
      <w:tr w:rsidR="00741E0E" w:rsidRPr="00741E0E" w:rsidTr="00741E0E">
        <w:trPr>
          <w:cantSplit/>
          <w:trHeight w:val="422"/>
          <w:jc w:val="center"/>
        </w:trPr>
        <w:tc>
          <w:tcPr>
            <w:tcW w:w="9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宗地编号</w:t>
            </w:r>
          </w:p>
        </w:tc>
        <w:tc>
          <w:tcPr>
            <w:tcW w:w="1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宗地位置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净用地面积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（平方米）</w:t>
            </w:r>
          </w:p>
        </w:tc>
        <w:tc>
          <w:tcPr>
            <w:tcW w:w="1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firstLineChars="50" w:firstLine="90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土地用途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及使用年限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（需扣除已使用年限）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tabs>
                <w:tab w:val="left" w:pos="420"/>
                <w:tab w:val="center" w:pos="4153"/>
                <w:tab w:val="right" w:pos="8306"/>
              </w:tabs>
              <w:spacing w:line="200" w:lineRule="exact"/>
              <w:ind w:firstLineChars="50" w:firstLine="80"/>
              <w:jc w:val="center"/>
              <w:rPr>
                <w:rFonts w:ascii="宋体" w:eastAsia="宋体" w:hAnsi="宋体" w:cs="宋体"/>
                <w:kern w:val="0"/>
                <w:sz w:val="16"/>
                <w:szCs w:val="16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6"/>
                <w:szCs w:val="18"/>
              </w:rPr>
              <w:t>净用地拍卖</w:t>
            </w:r>
          </w:p>
          <w:p w:rsidR="00741E0E" w:rsidRPr="00741E0E" w:rsidRDefault="00741E0E" w:rsidP="00741E0E">
            <w:pPr>
              <w:widowControl/>
              <w:tabs>
                <w:tab w:val="left" w:pos="420"/>
                <w:tab w:val="center" w:pos="4153"/>
                <w:tab w:val="right" w:pos="8306"/>
              </w:tabs>
              <w:spacing w:line="200" w:lineRule="exact"/>
              <w:jc w:val="center"/>
              <w:rPr>
                <w:rFonts w:ascii="宋体" w:eastAsia="宋体" w:hAnsi="宋体" w:cs="宋体" w:hint="eastAsia"/>
                <w:kern w:val="0"/>
                <w:sz w:val="16"/>
                <w:szCs w:val="16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6"/>
                <w:szCs w:val="18"/>
              </w:rPr>
              <w:t>起叫价</w:t>
            </w:r>
          </w:p>
          <w:p w:rsidR="00741E0E" w:rsidRPr="00741E0E" w:rsidRDefault="00741E0E" w:rsidP="00741E0E">
            <w:pPr>
              <w:widowControl/>
              <w:tabs>
                <w:tab w:val="left" w:pos="420"/>
                <w:tab w:val="center" w:pos="4153"/>
                <w:tab w:val="right" w:pos="8306"/>
              </w:tabs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16"/>
                <w:szCs w:val="16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6"/>
                <w:szCs w:val="18"/>
              </w:rPr>
              <w:t>（含出让金）</w:t>
            </w:r>
          </w:p>
        </w:tc>
        <w:tc>
          <w:tcPr>
            <w:tcW w:w="10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firstLineChars="150" w:firstLine="270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竞买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保证金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规划设计条件</w:t>
            </w:r>
          </w:p>
        </w:tc>
      </w:tr>
      <w:tr w:rsidR="00741E0E" w:rsidRPr="00741E0E" w:rsidTr="00741E0E">
        <w:trPr>
          <w:cantSplit/>
          <w:trHeight w:val="547"/>
          <w:jc w:val="center"/>
        </w:trPr>
        <w:tc>
          <w:tcPr>
            <w:tcW w:w="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1E0E" w:rsidRPr="00741E0E" w:rsidRDefault="00741E0E" w:rsidP="00741E0E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1E0E" w:rsidRPr="00741E0E" w:rsidRDefault="00741E0E" w:rsidP="00741E0E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1E0E" w:rsidRPr="00741E0E" w:rsidRDefault="00741E0E" w:rsidP="00741E0E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1E0E" w:rsidRPr="00741E0E" w:rsidRDefault="00741E0E" w:rsidP="00741E0E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1E0E" w:rsidRPr="00741E0E" w:rsidRDefault="00741E0E" w:rsidP="00741E0E">
            <w:pPr>
              <w:widowControl/>
              <w:jc w:val="left"/>
              <w:rPr>
                <w:rFonts w:ascii="宋体" w:eastAsia="宋体" w:hAnsi="宋体" w:cs="宋体"/>
                <w:kern w:val="0"/>
                <w:sz w:val="16"/>
                <w:szCs w:val="16"/>
              </w:rPr>
            </w:pPr>
          </w:p>
        </w:tc>
        <w:tc>
          <w:tcPr>
            <w:tcW w:w="10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1E0E" w:rsidRPr="00741E0E" w:rsidRDefault="00741E0E" w:rsidP="00741E0E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计入容积率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总建筑面积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（平方米）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建筑密度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建筑高度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绿地率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用地使用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性质</w:t>
            </w:r>
          </w:p>
        </w:tc>
      </w:tr>
      <w:tr w:rsidR="00741E0E" w:rsidRPr="00741E0E" w:rsidTr="00741E0E">
        <w:trPr>
          <w:cantSplit/>
          <w:trHeight w:val="1290"/>
          <w:jc w:val="center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leftChars="-74" w:left="-155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ZWH01(211/252):2012-1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rightChars="-72" w:right="-15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武侯区科华中路新6号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58318.54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合87.4778亩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rightChars="-51" w:right="-107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商业用地</w:t>
            </w:r>
          </w:p>
          <w:p w:rsidR="00741E0E" w:rsidRPr="00741E0E" w:rsidRDefault="00741E0E" w:rsidP="00741E0E">
            <w:pPr>
              <w:widowControl/>
              <w:spacing w:line="200" w:lineRule="exact"/>
              <w:ind w:rightChars="-51" w:right="-107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城镇混合</w:t>
            </w:r>
          </w:p>
          <w:p w:rsidR="00741E0E" w:rsidRPr="00741E0E" w:rsidRDefault="00741E0E" w:rsidP="00741E0E">
            <w:pPr>
              <w:widowControl/>
              <w:spacing w:line="200" w:lineRule="exact"/>
              <w:ind w:rightChars="-51" w:right="-107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住宅用地</w:t>
            </w:r>
          </w:p>
          <w:p w:rsidR="00741E0E" w:rsidRPr="00741E0E" w:rsidRDefault="00741E0E" w:rsidP="00741E0E">
            <w:pPr>
              <w:widowControl/>
              <w:spacing w:line="200" w:lineRule="exact"/>
              <w:ind w:leftChars="-110" w:left="-23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   商业40年</w:t>
            </w:r>
          </w:p>
          <w:p w:rsidR="00741E0E" w:rsidRPr="00741E0E" w:rsidRDefault="00741E0E" w:rsidP="00741E0E">
            <w:pPr>
              <w:widowControl/>
              <w:spacing w:line="200" w:lineRule="exact"/>
              <w:ind w:leftChars="-42" w:left="-88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 xml:space="preserve">  住宅70年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firstLineChars="1" w:firstLine="2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1173万元/亩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31000</w:t>
            </w:r>
            <w:r w:rsidRPr="00741E0E">
              <w:rPr>
                <w:rFonts w:ascii="Times New Roman" w:eastAsia="宋体" w:hAnsi="Times New Roman" w:cs="宋体" w:hint="eastAsia"/>
                <w:kern w:val="0"/>
                <w:sz w:val="18"/>
                <w:szCs w:val="18"/>
              </w:rPr>
              <w:t>万元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leftChars="-30" w:left="-63" w:rightChars="-51" w:right="-107" w:firstLineChars="250" w:firstLine="450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≤174955</w:t>
            </w:r>
          </w:p>
          <w:p w:rsidR="00741E0E" w:rsidRPr="00741E0E" w:rsidRDefault="00741E0E" w:rsidP="00741E0E">
            <w:pPr>
              <w:widowControl/>
              <w:spacing w:line="200" w:lineRule="exact"/>
              <w:ind w:leftChars="-30" w:left="-63" w:rightChars="-51" w:right="-107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（兼容住宅≤40%）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leftChars="-60" w:left="2" w:hangingChars="71" w:hanging="128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总≤40%；高层≤20%</w:t>
            </w:r>
          </w:p>
        </w:tc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ind w:leftChars="-51" w:left="-107" w:rightChars="-43" w:right="-90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≤航空限高绝对海拔高程597米</w:t>
            </w:r>
          </w:p>
          <w:p w:rsidR="00741E0E" w:rsidRPr="00741E0E" w:rsidRDefault="00741E0E" w:rsidP="00741E0E">
            <w:pPr>
              <w:widowControl/>
              <w:spacing w:line="200" w:lineRule="exact"/>
              <w:ind w:leftChars="-51" w:left="-107" w:rightChars="-43" w:right="-90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（建筑物最高点相对地面高度约104米）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≥15%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商业兼容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二类住宅</w:t>
            </w:r>
          </w:p>
          <w:p w:rsidR="00741E0E" w:rsidRPr="00741E0E" w:rsidRDefault="00741E0E" w:rsidP="00741E0E">
            <w:pPr>
              <w:widowControl/>
              <w:spacing w:line="20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41E0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用地</w:t>
            </w:r>
          </w:p>
        </w:tc>
      </w:tr>
    </w:tbl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   二、中华人民共和国境内外的法人、自然人和其他组织均可申请参加竞买，申请人可独立竞买也可联合竞买，但文件中有特殊要求或法律法规对申请人另有限制的除外。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   三、拍卖以增价方式竞价，自由竞价，价高者得。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   四、本宗地住宅套型建筑按建住房〔2006〕165号文件的要求执行，即商品住房总面积中套型建筑面积90平方米以下住房面积所占比重，必须达到70%以上。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   五、请竞买申请人在2012年2月27日17时之前，</w:t>
      </w:r>
      <w:proofErr w:type="gramStart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凭相关</w:t>
      </w:r>
      <w:proofErr w:type="gramEnd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报名材料及竞买保证金到账确认函到成都市土地交易市场</w:t>
      </w:r>
      <w:proofErr w:type="gramStart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招拍挂</w:t>
      </w:r>
      <w:proofErr w:type="gramEnd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窗口办理报名手续，领取《竞买应价牌领取单》。为规范流程和提高效率，请竞买申请人于2012年2月24日前，持转让文件规定的相关资料到成都市土地交易市场</w:t>
      </w:r>
      <w:proofErr w:type="gramStart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招拍挂</w:t>
      </w:r>
      <w:proofErr w:type="gramEnd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窗口提前申报。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   六、本公告未尽事宜详见转让文件，并以转让文件中附录的行政主管部门的法定文件为准。请意向竞买人于2012年2月1日起到成都市土地交易市场</w:t>
      </w:r>
      <w:proofErr w:type="gramStart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招拍挂</w:t>
      </w:r>
      <w:proofErr w:type="gramEnd"/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窗口索取转让文件。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 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联系地址：成都市百花西路2号附楼四楼                              咨询电话：028-87033536、 028-87052161 、028-87037027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lef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详情见：四川省国土资源厅网（http://www.scdlr.gov.cn）                 成都市国土资源局网（</w:t>
      </w:r>
      <w:hyperlink r:id="rId9" w:history="1">
        <w:r w:rsidRPr="00741E0E">
          <w:rPr>
            <w:rFonts w:ascii="宋体" w:eastAsia="宋体" w:hAnsi="宋体" w:cs="宋体" w:hint="eastAsia"/>
            <w:color w:val="000000"/>
            <w:kern w:val="0"/>
            <w:sz w:val="19"/>
          </w:rPr>
          <w:t>http://www.cdlr.gov.cn</w:t>
        </w:r>
      </w:hyperlink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 xml:space="preserve">）   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righ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成都市国土资源局</w:t>
      </w:r>
    </w:p>
    <w:p w:rsidR="00741E0E" w:rsidRPr="00741E0E" w:rsidRDefault="00741E0E" w:rsidP="00741E0E">
      <w:pPr>
        <w:widowControl/>
        <w:shd w:val="clear" w:color="auto" w:fill="F9FCFF"/>
        <w:spacing w:line="408" w:lineRule="atLeast"/>
        <w:jc w:val="right"/>
        <w:rPr>
          <w:rFonts w:ascii="宋体" w:eastAsia="宋体" w:hAnsi="宋体" w:cs="宋体" w:hint="eastAsia"/>
          <w:color w:val="033361"/>
          <w:kern w:val="0"/>
          <w:sz w:val="19"/>
          <w:szCs w:val="19"/>
        </w:rPr>
      </w:pPr>
      <w:r w:rsidRPr="00741E0E">
        <w:rPr>
          <w:rFonts w:ascii="宋体" w:eastAsia="宋体" w:hAnsi="宋体" w:cs="宋体" w:hint="eastAsia"/>
          <w:color w:val="033361"/>
          <w:kern w:val="0"/>
          <w:sz w:val="19"/>
          <w:szCs w:val="19"/>
        </w:rPr>
        <w:t>2012 年1月17日</w:t>
      </w:r>
    </w:p>
    <w:p w:rsidR="00EA552E" w:rsidRPr="00741E0E" w:rsidRDefault="00EA552E"/>
    <w:sectPr w:rsidR="00EA552E" w:rsidRPr="00741E0E" w:rsidSect="00741E0E">
      <w:pgSz w:w="15840" w:h="24480" w:code="17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41E0E"/>
    <w:rsid w:val="00741E0E"/>
    <w:rsid w:val="00A07388"/>
    <w:rsid w:val="00EA55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5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41E0E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Char"/>
    <w:uiPriority w:val="99"/>
    <w:unhideWhenUsed/>
    <w:rsid w:val="00741E0E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页眉 Char"/>
    <w:basedOn w:val="a0"/>
    <w:link w:val="a4"/>
    <w:uiPriority w:val="99"/>
    <w:rsid w:val="00741E0E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9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10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979779">
                  <w:marLeft w:val="0"/>
                  <w:marRight w:val="0"/>
                  <w:marTop w:val="0"/>
                  <w:marBottom w:val="0"/>
                  <w:divBdr>
                    <w:top w:val="single" w:sz="6" w:space="0" w:color="E1E4E5"/>
                    <w:left w:val="single" w:sz="6" w:space="0" w:color="E1E4E5"/>
                    <w:bottom w:val="single" w:sz="6" w:space="0" w:color="E1E4E5"/>
                    <w:right w:val="single" w:sz="6" w:space="0" w:color="E1E4E5"/>
                  </w:divBdr>
                  <w:divsChild>
                    <w:div w:id="193038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738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14" w:color="E0E2E5"/>
                        <w:right w:val="none" w:sz="0" w:space="0" w:color="auto"/>
                      </w:divBdr>
                    </w:div>
                    <w:div w:id="16667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335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220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5290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0791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4251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2061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3238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5537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452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self.close();" TargetMode="External"/><Relationship Id="rId3" Type="http://schemas.openxmlformats.org/officeDocument/2006/relationships/webSettings" Target="webSettings.xml"/><Relationship Id="rId7" Type="http://schemas.openxmlformats.org/officeDocument/2006/relationships/hyperlink" Target="javascript:print();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setFont('12')" TargetMode="External"/><Relationship Id="rId11" Type="http://schemas.openxmlformats.org/officeDocument/2006/relationships/theme" Target="theme/theme1.xml"/><Relationship Id="rId5" Type="http://schemas.openxmlformats.org/officeDocument/2006/relationships/hyperlink" Target="javascript:setFont('14')" TargetMode="External"/><Relationship Id="rId10" Type="http://schemas.openxmlformats.org/officeDocument/2006/relationships/fontTable" Target="fontTable.xml"/><Relationship Id="rId4" Type="http://schemas.openxmlformats.org/officeDocument/2006/relationships/hyperlink" Target="javascript:setFont('16')" TargetMode="External"/><Relationship Id="rId9" Type="http://schemas.openxmlformats.org/officeDocument/2006/relationships/hyperlink" Target="http://www.cdlr.gov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2012-01-19T05:31:00Z</dcterms:created>
  <dcterms:modified xsi:type="dcterms:W3CDTF">2012-01-19T05:56:00Z</dcterms:modified>
</cp:coreProperties>
</file>